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AC220" w14:textId="726C76C7" w:rsidR="0095586C" w:rsidRDefault="0095586C" w:rsidP="0095586C">
      <w:pPr>
        <w:spacing w:line="360" w:lineRule="auto"/>
        <w:jc w:val="both"/>
        <w:rPr>
          <w:rFonts w:ascii="Arial" w:hAnsi="Arial" w:cs="Arial"/>
        </w:rPr>
      </w:pPr>
      <w:r w:rsidRPr="0095586C">
        <w:rPr>
          <w:rFonts w:ascii="Arial" w:hAnsi="Arial" w:cs="Arial"/>
        </w:rPr>
        <w:t xml:space="preserve">A continuación, se presenta una cotización formal para la adquisición de suministros de oficina. En este documento se detalla cada artículo, su cantidad solicitada y el costo por unidad. El cálculo preciso de los subtotales por </w:t>
      </w:r>
      <w:proofErr w:type="gramStart"/>
      <w:r w:rsidRPr="0095586C">
        <w:rPr>
          <w:rFonts w:ascii="Arial" w:hAnsi="Arial" w:cs="Arial"/>
        </w:rPr>
        <w:t>línea</w:t>
      </w:r>
      <w:proofErr w:type="gramEnd"/>
      <w:r w:rsidRPr="0095586C">
        <w:rPr>
          <w:rFonts w:ascii="Arial" w:hAnsi="Arial" w:cs="Arial"/>
        </w:rPr>
        <w:t xml:space="preserve"> de producto es esencial para determinar el costo total antes de la aplicación de impuestos y otros cargos.</w:t>
      </w:r>
      <w:r>
        <w:rPr>
          <w:rFonts w:ascii="Arial" w:hAnsi="Arial" w:cs="Arial"/>
        </w:rPr>
        <w:br/>
      </w:r>
    </w:p>
    <w:p w14:paraId="0C5CA289" w14:textId="77777777" w:rsidR="0095586C" w:rsidRPr="0095586C" w:rsidRDefault="0095586C" w:rsidP="0095586C">
      <w:pPr>
        <w:spacing w:line="360" w:lineRule="auto"/>
        <w:rPr>
          <w:rFonts w:ascii="Arial" w:hAnsi="Arial" w:cs="Arial"/>
          <w:b/>
          <w:bCs/>
        </w:rPr>
      </w:pPr>
      <w:r w:rsidRPr="0095586C">
        <w:rPr>
          <w:rFonts w:ascii="Arial" w:hAnsi="Arial" w:cs="Arial"/>
          <w:b/>
          <w:bCs/>
        </w:rPr>
        <w:t>Cotización de Suministros de Oficina</w:t>
      </w:r>
    </w:p>
    <w:tbl>
      <w:tblPr>
        <w:tblStyle w:val="Tablaconcuadrcula"/>
        <w:tblW w:w="4930" w:type="pct"/>
        <w:tblLook w:val="04A0" w:firstRow="1" w:lastRow="0" w:firstColumn="1" w:lastColumn="0" w:noHBand="0" w:noVBand="1"/>
      </w:tblPr>
      <w:tblGrid>
        <w:gridCol w:w="3811"/>
        <w:gridCol w:w="862"/>
        <w:gridCol w:w="1986"/>
        <w:gridCol w:w="2045"/>
      </w:tblGrid>
      <w:tr w:rsidR="0095586C" w:rsidRPr="0095586C" w14:paraId="0760347D" w14:textId="77777777" w:rsidTr="0095586C">
        <w:trPr>
          <w:trHeight w:val="624"/>
        </w:trPr>
        <w:tc>
          <w:tcPr>
            <w:tcW w:w="2189" w:type="pct"/>
            <w:shd w:val="clear" w:color="auto" w:fill="DAE9F7" w:themeFill="text2" w:themeFillTint="1A"/>
            <w:vAlign w:val="center"/>
            <w:hideMark/>
          </w:tcPr>
          <w:p w14:paraId="58D40C2E" w14:textId="77777777" w:rsidR="0095586C" w:rsidRPr="0095586C" w:rsidRDefault="0095586C" w:rsidP="0095586C">
            <w:pPr>
              <w:spacing w:after="160" w:line="360" w:lineRule="auto"/>
              <w:jc w:val="center"/>
              <w:rPr>
                <w:rFonts w:ascii="Arial" w:hAnsi="Arial" w:cs="Arial"/>
                <w:b/>
                <w:bCs/>
              </w:rPr>
            </w:pPr>
            <w:r w:rsidRPr="0095586C">
              <w:rPr>
                <w:rFonts w:ascii="Arial" w:hAnsi="Arial" w:cs="Arial"/>
                <w:b/>
                <w:bCs/>
              </w:rPr>
              <w:t>Descripción del Artículo</w:t>
            </w:r>
          </w:p>
        </w:tc>
        <w:tc>
          <w:tcPr>
            <w:tcW w:w="495" w:type="pct"/>
            <w:shd w:val="clear" w:color="auto" w:fill="DAE9F7" w:themeFill="text2" w:themeFillTint="1A"/>
            <w:vAlign w:val="center"/>
            <w:hideMark/>
          </w:tcPr>
          <w:p w14:paraId="59E41335" w14:textId="4FADA90F" w:rsidR="0095586C" w:rsidRPr="0095586C" w:rsidRDefault="0095586C" w:rsidP="0095586C">
            <w:pPr>
              <w:spacing w:after="160" w:line="360" w:lineRule="auto"/>
              <w:jc w:val="center"/>
              <w:rPr>
                <w:rFonts w:ascii="Arial" w:hAnsi="Arial" w:cs="Arial"/>
                <w:b/>
                <w:bCs/>
              </w:rPr>
            </w:pPr>
            <w:proofErr w:type="spellStart"/>
            <w:r>
              <w:rPr>
                <w:rFonts w:ascii="Arial" w:hAnsi="Arial" w:cs="Arial"/>
                <w:b/>
                <w:bCs/>
              </w:rPr>
              <w:t>Cant</w:t>
            </w:r>
            <w:proofErr w:type="spellEnd"/>
            <w:r>
              <w:rPr>
                <w:rFonts w:ascii="Arial" w:hAnsi="Arial" w:cs="Arial"/>
                <w:b/>
                <w:bCs/>
              </w:rPr>
              <w:t>.</w:t>
            </w:r>
          </w:p>
        </w:tc>
        <w:tc>
          <w:tcPr>
            <w:tcW w:w="1141" w:type="pct"/>
            <w:shd w:val="clear" w:color="auto" w:fill="DAE9F7" w:themeFill="text2" w:themeFillTint="1A"/>
            <w:vAlign w:val="center"/>
            <w:hideMark/>
          </w:tcPr>
          <w:p w14:paraId="1DC1B192" w14:textId="117F4963" w:rsidR="0095586C" w:rsidRPr="0095586C" w:rsidRDefault="0095586C" w:rsidP="0095586C">
            <w:pPr>
              <w:spacing w:after="160" w:line="360" w:lineRule="auto"/>
              <w:jc w:val="center"/>
              <w:rPr>
                <w:rFonts w:ascii="Arial" w:hAnsi="Arial" w:cs="Arial"/>
                <w:b/>
                <w:bCs/>
              </w:rPr>
            </w:pPr>
            <w:r w:rsidRPr="0095586C">
              <w:rPr>
                <w:rFonts w:ascii="Arial" w:hAnsi="Arial" w:cs="Arial"/>
                <w:b/>
                <w:bCs/>
              </w:rPr>
              <w:t>P</w:t>
            </w:r>
            <w:r>
              <w:rPr>
                <w:rFonts w:ascii="Arial" w:hAnsi="Arial" w:cs="Arial"/>
                <w:b/>
                <w:bCs/>
              </w:rPr>
              <w:t>recio</w:t>
            </w:r>
            <w:r w:rsidRPr="0095586C">
              <w:rPr>
                <w:rFonts w:ascii="Arial" w:hAnsi="Arial" w:cs="Arial"/>
                <w:b/>
                <w:bCs/>
              </w:rPr>
              <w:t xml:space="preserve"> Unitario</w:t>
            </w:r>
          </w:p>
        </w:tc>
        <w:tc>
          <w:tcPr>
            <w:tcW w:w="1175" w:type="pct"/>
            <w:shd w:val="clear" w:color="auto" w:fill="DAE9F7" w:themeFill="text2" w:themeFillTint="1A"/>
            <w:vAlign w:val="center"/>
            <w:hideMark/>
          </w:tcPr>
          <w:p w14:paraId="2AC5F54C" w14:textId="77777777" w:rsidR="0095586C" w:rsidRPr="0095586C" w:rsidRDefault="0095586C" w:rsidP="0095586C">
            <w:pPr>
              <w:spacing w:after="160" w:line="360" w:lineRule="auto"/>
              <w:jc w:val="center"/>
              <w:rPr>
                <w:rFonts w:ascii="Arial" w:hAnsi="Arial" w:cs="Arial"/>
                <w:b/>
                <w:bCs/>
              </w:rPr>
            </w:pPr>
            <w:r w:rsidRPr="0095586C">
              <w:rPr>
                <w:rFonts w:ascii="Arial" w:hAnsi="Arial" w:cs="Arial"/>
                <w:b/>
                <w:bCs/>
              </w:rPr>
              <w:t>Subtotal</w:t>
            </w:r>
          </w:p>
        </w:tc>
      </w:tr>
      <w:tr w:rsidR="0095586C" w:rsidRPr="0095586C" w14:paraId="675B76E9" w14:textId="77777777" w:rsidTr="0095586C">
        <w:trPr>
          <w:trHeight w:val="624"/>
        </w:trPr>
        <w:tc>
          <w:tcPr>
            <w:tcW w:w="2189" w:type="pct"/>
            <w:vAlign w:val="center"/>
            <w:hideMark/>
          </w:tcPr>
          <w:p w14:paraId="10CA44A7" w14:textId="77777777" w:rsidR="0095586C" w:rsidRPr="0095586C" w:rsidRDefault="0095586C" w:rsidP="0095586C">
            <w:pPr>
              <w:spacing w:after="160" w:line="360" w:lineRule="auto"/>
              <w:jc w:val="right"/>
              <w:rPr>
                <w:rFonts w:ascii="Arial" w:hAnsi="Arial" w:cs="Arial"/>
              </w:rPr>
            </w:pPr>
            <w:r w:rsidRPr="0095586C">
              <w:rPr>
                <w:rFonts w:ascii="Arial" w:hAnsi="Arial" w:cs="Arial"/>
              </w:rPr>
              <w:t>Resmas de papel tamaño carta</w:t>
            </w:r>
          </w:p>
        </w:tc>
        <w:tc>
          <w:tcPr>
            <w:tcW w:w="495" w:type="pct"/>
            <w:vAlign w:val="center"/>
            <w:hideMark/>
          </w:tcPr>
          <w:p w14:paraId="3AB878B6" w14:textId="4CBDAF27" w:rsidR="0095586C" w:rsidRPr="0095586C" w:rsidRDefault="00043712" w:rsidP="0095586C">
            <w:pPr>
              <w:spacing w:after="160" w:line="360" w:lineRule="auto"/>
              <w:jc w:val="right"/>
              <w:rPr>
                <w:rFonts w:ascii="Arial" w:hAnsi="Arial" w:cs="Arial"/>
              </w:rPr>
            </w:pPr>
            <w:r>
              <w:rPr>
                <w:rFonts w:ascii="Arial" w:hAnsi="Arial" w:cs="Arial"/>
              </w:rPr>
              <w:t>5</w:t>
            </w:r>
          </w:p>
        </w:tc>
        <w:tc>
          <w:tcPr>
            <w:tcW w:w="1141" w:type="pct"/>
            <w:vAlign w:val="center"/>
            <w:hideMark/>
          </w:tcPr>
          <w:p w14:paraId="51FBA0E1" w14:textId="77777777" w:rsidR="0095586C" w:rsidRPr="0095586C" w:rsidRDefault="0095586C" w:rsidP="0095586C">
            <w:pPr>
              <w:spacing w:after="160" w:line="360" w:lineRule="auto"/>
              <w:jc w:val="right"/>
              <w:rPr>
                <w:rFonts w:ascii="Arial" w:hAnsi="Arial" w:cs="Arial"/>
              </w:rPr>
            </w:pPr>
            <w:r w:rsidRPr="0095586C">
              <w:rPr>
                <w:rFonts w:ascii="Arial" w:hAnsi="Arial" w:cs="Arial"/>
              </w:rPr>
              <w:t>25000</w:t>
            </w:r>
          </w:p>
        </w:tc>
        <w:tc>
          <w:tcPr>
            <w:tcW w:w="1175" w:type="pct"/>
            <w:vAlign w:val="center"/>
            <w:hideMark/>
          </w:tcPr>
          <w:p w14:paraId="3D57AB82" w14:textId="1398ED13" w:rsidR="0095586C" w:rsidRPr="0095586C" w:rsidRDefault="00043712" w:rsidP="0095586C">
            <w:pPr>
              <w:spacing w:after="160" w:line="360" w:lineRule="auto"/>
              <w:jc w:val="right"/>
              <w:rPr>
                <w:rFonts w:ascii="Arial" w:hAnsi="Arial" w:cs="Arial"/>
              </w:rPr>
            </w:pPr>
            <w:r>
              <w:rPr>
                <w:rFonts w:ascii="Arial" w:hAnsi="Arial" w:cs="Arial"/>
              </w:rPr>
              <w:fldChar w:fldCharType="begin"/>
            </w:r>
            <w:r>
              <w:rPr>
                <w:rFonts w:ascii="Arial" w:hAnsi="Arial" w:cs="Arial"/>
              </w:rPr>
              <w:instrText xml:space="preserve"> =PRODUCT(LEFT) </w:instrText>
            </w:r>
            <w:r>
              <w:rPr>
                <w:rFonts w:ascii="Arial" w:hAnsi="Arial" w:cs="Arial"/>
              </w:rPr>
              <w:fldChar w:fldCharType="separate"/>
            </w:r>
            <w:r>
              <w:rPr>
                <w:rFonts w:ascii="Arial" w:hAnsi="Arial" w:cs="Arial"/>
                <w:noProof/>
              </w:rPr>
              <w:t>125000</w:t>
            </w:r>
            <w:r>
              <w:rPr>
                <w:rFonts w:ascii="Arial" w:hAnsi="Arial" w:cs="Arial"/>
              </w:rPr>
              <w:fldChar w:fldCharType="end"/>
            </w:r>
          </w:p>
        </w:tc>
      </w:tr>
      <w:tr w:rsidR="0095586C" w:rsidRPr="0095586C" w14:paraId="29FED330" w14:textId="77777777" w:rsidTr="0095586C">
        <w:trPr>
          <w:trHeight w:val="624"/>
        </w:trPr>
        <w:tc>
          <w:tcPr>
            <w:tcW w:w="2189" w:type="pct"/>
            <w:vAlign w:val="center"/>
            <w:hideMark/>
          </w:tcPr>
          <w:p w14:paraId="3AEDBCEF" w14:textId="77777777" w:rsidR="0095586C" w:rsidRPr="0095586C" w:rsidRDefault="0095586C" w:rsidP="0095586C">
            <w:pPr>
              <w:spacing w:after="160" w:line="360" w:lineRule="auto"/>
              <w:jc w:val="right"/>
              <w:rPr>
                <w:rFonts w:ascii="Arial" w:hAnsi="Arial" w:cs="Arial"/>
              </w:rPr>
            </w:pPr>
            <w:r w:rsidRPr="0095586C">
              <w:rPr>
                <w:rFonts w:ascii="Arial" w:hAnsi="Arial" w:cs="Arial"/>
              </w:rPr>
              <w:t>Cajas de bolígrafos negros</w:t>
            </w:r>
          </w:p>
        </w:tc>
        <w:tc>
          <w:tcPr>
            <w:tcW w:w="495" w:type="pct"/>
            <w:vAlign w:val="center"/>
            <w:hideMark/>
          </w:tcPr>
          <w:p w14:paraId="4D75F311" w14:textId="2EE3B300" w:rsidR="0095586C" w:rsidRPr="0095586C" w:rsidRDefault="00043712" w:rsidP="0095586C">
            <w:pPr>
              <w:spacing w:after="160" w:line="360" w:lineRule="auto"/>
              <w:jc w:val="right"/>
              <w:rPr>
                <w:rFonts w:ascii="Arial" w:hAnsi="Arial" w:cs="Arial"/>
              </w:rPr>
            </w:pPr>
            <w:r>
              <w:rPr>
                <w:rFonts w:ascii="Arial" w:hAnsi="Arial" w:cs="Arial"/>
              </w:rPr>
              <w:t>10</w:t>
            </w:r>
          </w:p>
        </w:tc>
        <w:tc>
          <w:tcPr>
            <w:tcW w:w="1141" w:type="pct"/>
            <w:vAlign w:val="center"/>
            <w:hideMark/>
          </w:tcPr>
          <w:p w14:paraId="40FAAFA3" w14:textId="77777777" w:rsidR="0095586C" w:rsidRPr="0095586C" w:rsidRDefault="0095586C" w:rsidP="0095586C">
            <w:pPr>
              <w:spacing w:after="160" w:line="360" w:lineRule="auto"/>
              <w:jc w:val="right"/>
              <w:rPr>
                <w:rFonts w:ascii="Arial" w:hAnsi="Arial" w:cs="Arial"/>
              </w:rPr>
            </w:pPr>
            <w:r w:rsidRPr="0095586C">
              <w:rPr>
                <w:rFonts w:ascii="Arial" w:hAnsi="Arial" w:cs="Arial"/>
              </w:rPr>
              <w:t>15000</w:t>
            </w:r>
          </w:p>
        </w:tc>
        <w:tc>
          <w:tcPr>
            <w:tcW w:w="1175" w:type="pct"/>
            <w:vAlign w:val="center"/>
            <w:hideMark/>
          </w:tcPr>
          <w:p w14:paraId="6C30DF99" w14:textId="5BE4C84A" w:rsidR="0095586C" w:rsidRPr="0095586C" w:rsidRDefault="00043712" w:rsidP="0095586C">
            <w:pPr>
              <w:spacing w:after="160" w:line="360" w:lineRule="auto"/>
              <w:jc w:val="right"/>
              <w:rPr>
                <w:rFonts w:ascii="Arial" w:hAnsi="Arial" w:cs="Arial"/>
              </w:rPr>
            </w:pPr>
            <w:r>
              <w:rPr>
                <w:rFonts w:ascii="Arial" w:hAnsi="Arial" w:cs="Arial"/>
              </w:rPr>
              <w:fldChar w:fldCharType="begin"/>
            </w:r>
            <w:r>
              <w:rPr>
                <w:rFonts w:ascii="Arial" w:hAnsi="Arial" w:cs="Arial"/>
              </w:rPr>
              <w:instrText xml:space="preserve"> =PRODUCT(LEFT) </w:instrText>
            </w:r>
            <w:r>
              <w:rPr>
                <w:rFonts w:ascii="Arial" w:hAnsi="Arial" w:cs="Arial"/>
              </w:rPr>
              <w:fldChar w:fldCharType="separate"/>
            </w:r>
            <w:r>
              <w:rPr>
                <w:rFonts w:ascii="Arial" w:hAnsi="Arial" w:cs="Arial"/>
                <w:noProof/>
              </w:rPr>
              <w:t>150000</w:t>
            </w:r>
            <w:r>
              <w:rPr>
                <w:rFonts w:ascii="Arial" w:hAnsi="Arial" w:cs="Arial"/>
              </w:rPr>
              <w:fldChar w:fldCharType="end"/>
            </w:r>
          </w:p>
        </w:tc>
      </w:tr>
      <w:tr w:rsidR="0095586C" w:rsidRPr="0095586C" w14:paraId="730C1EE9" w14:textId="77777777" w:rsidTr="0095586C">
        <w:trPr>
          <w:trHeight w:val="624"/>
        </w:trPr>
        <w:tc>
          <w:tcPr>
            <w:tcW w:w="2189" w:type="pct"/>
            <w:vAlign w:val="center"/>
            <w:hideMark/>
          </w:tcPr>
          <w:p w14:paraId="2FF8B3C7" w14:textId="77777777" w:rsidR="0095586C" w:rsidRPr="0095586C" w:rsidRDefault="0095586C" w:rsidP="0095586C">
            <w:pPr>
              <w:spacing w:after="160" w:line="360" w:lineRule="auto"/>
              <w:jc w:val="right"/>
              <w:rPr>
                <w:rFonts w:ascii="Arial" w:hAnsi="Arial" w:cs="Arial"/>
              </w:rPr>
            </w:pPr>
            <w:r w:rsidRPr="0095586C">
              <w:rPr>
                <w:rFonts w:ascii="Arial" w:hAnsi="Arial" w:cs="Arial"/>
              </w:rPr>
              <w:t>Tóner para impresora ref. 12A</w:t>
            </w:r>
          </w:p>
        </w:tc>
        <w:tc>
          <w:tcPr>
            <w:tcW w:w="495" w:type="pct"/>
            <w:vAlign w:val="center"/>
            <w:hideMark/>
          </w:tcPr>
          <w:p w14:paraId="73159CE0" w14:textId="64A1D134" w:rsidR="0095586C" w:rsidRPr="0095586C" w:rsidRDefault="00043712" w:rsidP="0095586C">
            <w:pPr>
              <w:spacing w:after="160" w:line="360" w:lineRule="auto"/>
              <w:jc w:val="right"/>
              <w:rPr>
                <w:rFonts w:ascii="Arial" w:hAnsi="Arial" w:cs="Arial"/>
              </w:rPr>
            </w:pPr>
            <w:r>
              <w:rPr>
                <w:rFonts w:ascii="Arial" w:hAnsi="Arial" w:cs="Arial"/>
              </w:rPr>
              <w:t>5</w:t>
            </w:r>
          </w:p>
        </w:tc>
        <w:tc>
          <w:tcPr>
            <w:tcW w:w="1141" w:type="pct"/>
            <w:vAlign w:val="center"/>
            <w:hideMark/>
          </w:tcPr>
          <w:p w14:paraId="1F30376F" w14:textId="77777777" w:rsidR="0095586C" w:rsidRPr="0095586C" w:rsidRDefault="0095586C" w:rsidP="0095586C">
            <w:pPr>
              <w:spacing w:after="160" w:line="360" w:lineRule="auto"/>
              <w:jc w:val="right"/>
              <w:rPr>
                <w:rFonts w:ascii="Arial" w:hAnsi="Arial" w:cs="Arial"/>
              </w:rPr>
            </w:pPr>
            <w:r w:rsidRPr="0095586C">
              <w:rPr>
                <w:rFonts w:ascii="Arial" w:hAnsi="Arial" w:cs="Arial"/>
              </w:rPr>
              <w:t>350000</w:t>
            </w:r>
          </w:p>
        </w:tc>
        <w:tc>
          <w:tcPr>
            <w:tcW w:w="1175" w:type="pct"/>
            <w:vAlign w:val="center"/>
            <w:hideMark/>
          </w:tcPr>
          <w:p w14:paraId="17CB731F" w14:textId="46ACC3EA" w:rsidR="0095586C" w:rsidRPr="0095586C" w:rsidRDefault="00043712" w:rsidP="0095586C">
            <w:pPr>
              <w:spacing w:after="160" w:line="360" w:lineRule="auto"/>
              <w:jc w:val="right"/>
              <w:rPr>
                <w:rFonts w:ascii="Arial" w:hAnsi="Arial" w:cs="Arial"/>
              </w:rPr>
            </w:pPr>
            <w:r>
              <w:rPr>
                <w:rFonts w:ascii="Arial" w:hAnsi="Arial" w:cs="Arial"/>
              </w:rPr>
              <w:fldChar w:fldCharType="begin"/>
            </w:r>
            <w:r>
              <w:rPr>
                <w:rFonts w:ascii="Arial" w:hAnsi="Arial" w:cs="Arial"/>
              </w:rPr>
              <w:instrText xml:space="preserve"> =B4*C4 </w:instrText>
            </w:r>
            <w:r>
              <w:rPr>
                <w:rFonts w:ascii="Arial" w:hAnsi="Arial" w:cs="Arial"/>
              </w:rPr>
              <w:fldChar w:fldCharType="separate"/>
            </w:r>
            <w:r>
              <w:rPr>
                <w:rFonts w:ascii="Arial" w:hAnsi="Arial" w:cs="Arial"/>
                <w:noProof/>
              </w:rPr>
              <w:t>1750000</w:t>
            </w:r>
            <w:r>
              <w:rPr>
                <w:rFonts w:ascii="Arial" w:hAnsi="Arial" w:cs="Arial"/>
              </w:rPr>
              <w:fldChar w:fldCharType="end"/>
            </w:r>
          </w:p>
        </w:tc>
      </w:tr>
      <w:tr w:rsidR="0095586C" w:rsidRPr="0095586C" w14:paraId="3D419349" w14:textId="77777777" w:rsidTr="0095586C">
        <w:trPr>
          <w:trHeight w:val="624"/>
        </w:trPr>
        <w:tc>
          <w:tcPr>
            <w:tcW w:w="3825" w:type="pct"/>
            <w:gridSpan w:val="3"/>
            <w:vAlign w:val="center"/>
            <w:hideMark/>
          </w:tcPr>
          <w:p w14:paraId="6EB7EFEE" w14:textId="3C602234" w:rsidR="0095586C" w:rsidRPr="0095586C" w:rsidRDefault="0095586C" w:rsidP="0095586C">
            <w:pPr>
              <w:spacing w:after="160" w:line="360" w:lineRule="auto"/>
              <w:jc w:val="right"/>
              <w:rPr>
                <w:rFonts w:ascii="Arial" w:hAnsi="Arial" w:cs="Arial"/>
              </w:rPr>
            </w:pPr>
            <w:r w:rsidRPr="0095586C">
              <w:rPr>
                <w:rFonts w:ascii="Arial" w:hAnsi="Arial" w:cs="Arial"/>
                <w:b/>
                <w:bCs/>
              </w:rPr>
              <w:t>Subtotal General</w:t>
            </w:r>
          </w:p>
        </w:tc>
        <w:tc>
          <w:tcPr>
            <w:tcW w:w="1175" w:type="pct"/>
            <w:vAlign w:val="center"/>
            <w:hideMark/>
          </w:tcPr>
          <w:p w14:paraId="217C6BD5" w14:textId="562B3ADD" w:rsidR="0095586C" w:rsidRPr="0095586C" w:rsidRDefault="00043712" w:rsidP="0095586C">
            <w:pPr>
              <w:spacing w:after="160" w:line="360" w:lineRule="auto"/>
              <w:jc w:val="center"/>
              <w:rPr>
                <w:rFonts w:ascii="Arial" w:hAnsi="Arial" w:cs="Arial"/>
                <w:b/>
                <w:bCs/>
              </w:rPr>
            </w:pPr>
            <w:r>
              <w:rPr>
                <w:rFonts w:ascii="Arial" w:hAnsi="Arial" w:cs="Arial"/>
                <w:b/>
                <w:bCs/>
              </w:rPr>
              <w:fldChar w:fldCharType="begin"/>
            </w:r>
            <w:r>
              <w:rPr>
                <w:rFonts w:ascii="Arial" w:hAnsi="Arial" w:cs="Arial"/>
                <w:b/>
                <w:bCs/>
              </w:rPr>
              <w:instrText xml:space="preserve"> =SUM(ABOVE) \# "$ #.##0,00;($ #.##0,00)" </w:instrText>
            </w:r>
            <w:r>
              <w:rPr>
                <w:rFonts w:ascii="Arial" w:hAnsi="Arial" w:cs="Arial"/>
                <w:b/>
                <w:bCs/>
              </w:rPr>
              <w:fldChar w:fldCharType="separate"/>
            </w:r>
            <w:r>
              <w:rPr>
                <w:rFonts w:ascii="Arial" w:hAnsi="Arial" w:cs="Arial"/>
                <w:b/>
                <w:bCs/>
                <w:noProof/>
              </w:rPr>
              <w:t>$ 2.025.000,00</w:t>
            </w:r>
            <w:r>
              <w:rPr>
                <w:rFonts w:ascii="Arial" w:hAnsi="Arial" w:cs="Arial"/>
                <w:b/>
                <w:bCs/>
              </w:rPr>
              <w:fldChar w:fldCharType="end"/>
            </w:r>
          </w:p>
        </w:tc>
      </w:tr>
    </w:tbl>
    <w:p w14:paraId="283A598E" w14:textId="66BAEBEA" w:rsidR="0095586C" w:rsidRPr="0095586C" w:rsidRDefault="0095586C" w:rsidP="0095586C">
      <w:pPr>
        <w:spacing w:line="360" w:lineRule="auto"/>
        <w:rPr>
          <w:rFonts w:ascii="Arial" w:hAnsi="Arial" w:cs="Arial"/>
        </w:rPr>
      </w:pPr>
    </w:p>
    <w:p w14:paraId="618A62DE" w14:textId="77777777" w:rsidR="0095586C" w:rsidRPr="0095586C" w:rsidRDefault="0095586C" w:rsidP="0095586C">
      <w:pPr>
        <w:spacing w:line="360" w:lineRule="auto"/>
        <w:jc w:val="both"/>
        <w:rPr>
          <w:rFonts w:ascii="Arial" w:hAnsi="Arial" w:cs="Arial"/>
        </w:rPr>
      </w:pPr>
      <w:r w:rsidRPr="0095586C">
        <w:rPr>
          <w:rFonts w:ascii="Arial" w:hAnsi="Arial" w:cs="Arial"/>
        </w:rPr>
        <w:t xml:space="preserve">El subtotal general, obtenido mediante la suma de los costos individuales de cada línea de producto, representa el costo base de la orden. Este total es la cifra clave que se utilizará para posteriores cálculos, como la adición de impuestos o descuentos. Este ejemplo demuestra cómo las fórmulas de Word, combinando operaciones de </w:t>
      </w:r>
      <w:r w:rsidRPr="0095586C">
        <w:rPr>
          <w:rFonts w:ascii="Arial" w:hAnsi="Arial" w:cs="Arial"/>
          <w:b/>
          <w:bCs/>
        </w:rPr>
        <w:t>multiplicación</w:t>
      </w:r>
      <w:r w:rsidRPr="0095586C">
        <w:rPr>
          <w:rFonts w:ascii="Arial" w:hAnsi="Arial" w:cs="Arial"/>
        </w:rPr>
        <w:t xml:space="preserve"> (=Cantidad*Precio Unitario) y </w:t>
      </w:r>
      <w:r w:rsidRPr="0095586C">
        <w:rPr>
          <w:rFonts w:ascii="Arial" w:hAnsi="Arial" w:cs="Arial"/>
          <w:b/>
          <w:bCs/>
        </w:rPr>
        <w:t>suma</w:t>
      </w:r>
      <w:r w:rsidRPr="0095586C">
        <w:rPr>
          <w:rFonts w:ascii="Arial" w:hAnsi="Arial" w:cs="Arial"/>
        </w:rPr>
        <w:t xml:space="preserve"> (=SUM(ABOVE)), permiten crear documentos comerciales funcionales y precisos directamente en el procesador de texto.</w:t>
      </w:r>
    </w:p>
    <w:p w14:paraId="6EE51436" w14:textId="77777777" w:rsidR="00357D02" w:rsidRDefault="00357D02"/>
    <w:sectPr w:rsidR="00357D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86C"/>
    <w:rsid w:val="00043712"/>
    <w:rsid w:val="001B3DFC"/>
    <w:rsid w:val="00273642"/>
    <w:rsid w:val="002D09BF"/>
    <w:rsid w:val="00307564"/>
    <w:rsid w:val="00357D02"/>
    <w:rsid w:val="003A5E98"/>
    <w:rsid w:val="004D3C6A"/>
    <w:rsid w:val="004E4A37"/>
    <w:rsid w:val="005F004F"/>
    <w:rsid w:val="00631C82"/>
    <w:rsid w:val="00837230"/>
    <w:rsid w:val="00885E90"/>
    <w:rsid w:val="008E7183"/>
    <w:rsid w:val="00903404"/>
    <w:rsid w:val="0095586C"/>
    <w:rsid w:val="00A765CF"/>
    <w:rsid w:val="00AC173F"/>
    <w:rsid w:val="00BC2EB7"/>
    <w:rsid w:val="00BF30D1"/>
    <w:rsid w:val="00C73926"/>
    <w:rsid w:val="00CA62D4"/>
    <w:rsid w:val="00D72EE5"/>
    <w:rsid w:val="00DE50D8"/>
    <w:rsid w:val="00E736DA"/>
    <w:rsid w:val="00FA16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44B07"/>
  <w15:chartTrackingRefBased/>
  <w15:docId w15:val="{484A427A-3DF0-47E0-84B6-90E9051B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558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558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558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558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558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5586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5586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5586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5586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58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558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558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558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558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558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558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558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5586C"/>
    <w:rPr>
      <w:rFonts w:eastAsiaTheme="majorEastAsia" w:cstheme="majorBidi"/>
      <w:color w:val="272727" w:themeColor="text1" w:themeTint="D8"/>
    </w:rPr>
  </w:style>
  <w:style w:type="paragraph" w:styleId="Ttulo">
    <w:name w:val="Title"/>
    <w:basedOn w:val="Normal"/>
    <w:next w:val="Normal"/>
    <w:link w:val="TtuloCar"/>
    <w:uiPriority w:val="10"/>
    <w:qFormat/>
    <w:rsid w:val="009558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558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5586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558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5586C"/>
    <w:pPr>
      <w:spacing w:before="160"/>
      <w:jc w:val="center"/>
    </w:pPr>
    <w:rPr>
      <w:i/>
      <w:iCs/>
      <w:color w:val="404040" w:themeColor="text1" w:themeTint="BF"/>
    </w:rPr>
  </w:style>
  <w:style w:type="character" w:customStyle="1" w:styleId="CitaCar">
    <w:name w:val="Cita Car"/>
    <w:basedOn w:val="Fuentedeprrafopredeter"/>
    <w:link w:val="Cita"/>
    <w:uiPriority w:val="29"/>
    <w:rsid w:val="0095586C"/>
    <w:rPr>
      <w:i/>
      <w:iCs/>
      <w:color w:val="404040" w:themeColor="text1" w:themeTint="BF"/>
    </w:rPr>
  </w:style>
  <w:style w:type="paragraph" w:styleId="Prrafodelista">
    <w:name w:val="List Paragraph"/>
    <w:basedOn w:val="Normal"/>
    <w:uiPriority w:val="34"/>
    <w:qFormat/>
    <w:rsid w:val="0095586C"/>
    <w:pPr>
      <w:ind w:left="720"/>
      <w:contextualSpacing/>
    </w:pPr>
  </w:style>
  <w:style w:type="character" w:styleId="nfasisintenso">
    <w:name w:val="Intense Emphasis"/>
    <w:basedOn w:val="Fuentedeprrafopredeter"/>
    <w:uiPriority w:val="21"/>
    <w:qFormat/>
    <w:rsid w:val="0095586C"/>
    <w:rPr>
      <w:i/>
      <w:iCs/>
      <w:color w:val="0F4761" w:themeColor="accent1" w:themeShade="BF"/>
    </w:rPr>
  </w:style>
  <w:style w:type="paragraph" w:styleId="Citadestacada">
    <w:name w:val="Intense Quote"/>
    <w:basedOn w:val="Normal"/>
    <w:next w:val="Normal"/>
    <w:link w:val="CitadestacadaCar"/>
    <w:uiPriority w:val="30"/>
    <w:qFormat/>
    <w:rsid w:val="009558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5586C"/>
    <w:rPr>
      <w:i/>
      <w:iCs/>
      <w:color w:val="0F4761" w:themeColor="accent1" w:themeShade="BF"/>
    </w:rPr>
  </w:style>
  <w:style w:type="character" w:styleId="Referenciaintensa">
    <w:name w:val="Intense Reference"/>
    <w:basedOn w:val="Fuentedeprrafopredeter"/>
    <w:uiPriority w:val="32"/>
    <w:qFormat/>
    <w:rsid w:val="0095586C"/>
    <w:rPr>
      <w:b/>
      <w:bCs/>
      <w:smallCaps/>
      <w:color w:val="0F4761" w:themeColor="accent1" w:themeShade="BF"/>
      <w:spacing w:val="5"/>
    </w:rPr>
  </w:style>
  <w:style w:type="table" w:styleId="Tablaconcuadrcula">
    <w:name w:val="Table Grid"/>
    <w:basedOn w:val="Tablanormal"/>
    <w:uiPriority w:val="39"/>
    <w:rsid w:val="00955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184</Words>
  <Characters>1015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Dostin Hurtado</dc:creator>
  <cp:keywords/>
  <dc:description/>
  <cp:lastModifiedBy>Dostin Hurtado</cp:lastModifiedBy>
  <cp:revision>2</cp:revision>
  <dcterms:created xsi:type="dcterms:W3CDTF">2025-10-14T01:52:00Z</dcterms:created>
  <dcterms:modified xsi:type="dcterms:W3CDTF">2025-10-14T01:52:00Z</dcterms:modified>
</cp:coreProperties>
</file>